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2A496" w14:textId="7591B235" w:rsidR="002B4F4A" w:rsidRDefault="00CC614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00A41E5E">
        <w:rPr>
          <w:rFonts w:ascii="Verdana" w:hAnsi="Verdana"/>
          <w:b/>
          <w:bCs/>
          <w:sz w:val="20"/>
          <w:szCs w:val="20"/>
        </w:rPr>
        <w:t>PARTE</w:t>
      </w:r>
      <w:r w:rsidR="00A41E5E" w:rsidRPr="00A41E5E">
        <w:rPr>
          <w:rFonts w:ascii="Verdana" w:hAnsi="Verdana"/>
          <w:b/>
          <w:bCs/>
          <w:sz w:val="20"/>
          <w:szCs w:val="20"/>
        </w:rPr>
        <w:t xml:space="preserve"> </w:t>
      </w:r>
      <w:r w:rsidR="00840AC3">
        <w:rPr>
          <w:rFonts w:ascii="Verdana" w:hAnsi="Verdana"/>
          <w:b/>
          <w:bCs/>
          <w:sz w:val="20"/>
          <w:szCs w:val="20"/>
        </w:rPr>
        <w:t>2</w:t>
      </w:r>
    </w:p>
    <w:p w14:paraId="6000F327" w14:textId="63D28010" w:rsidR="0006736C" w:rsidRDefault="00213D2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1FD9992F">
        <w:rPr>
          <w:rFonts w:ascii="Verdana" w:hAnsi="Verdana"/>
          <w:b/>
          <w:bCs/>
          <w:sz w:val="20"/>
          <w:szCs w:val="20"/>
        </w:rPr>
        <w:t>CONTROLES DE LEY Y ASUNTOS PRUDENCIALES</w:t>
      </w:r>
    </w:p>
    <w:p w14:paraId="1BF07C81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438B98D3" w14:textId="4F9F957B" w:rsidR="00A41E5E" w:rsidRDefault="00A41E5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CAPÍTULO </w:t>
      </w:r>
      <w:r w:rsidR="009C4CAD">
        <w:rPr>
          <w:rFonts w:ascii="Verdana" w:hAnsi="Verdana"/>
          <w:b/>
          <w:bCs/>
          <w:sz w:val="20"/>
          <w:szCs w:val="20"/>
        </w:rPr>
        <w:t>8</w:t>
      </w:r>
    </w:p>
    <w:p w14:paraId="3F9900A3" w14:textId="5C6500D5" w:rsidR="00DA0C0E" w:rsidRDefault="00202CAD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1FD9992F">
        <w:rPr>
          <w:rFonts w:ascii="Verdana" w:hAnsi="Verdana"/>
          <w:b/>
          <w:bCs/>
          <w:sz w:val="20"/>
          <w:szCs w:val="20"/>
        </w:rPr>
        <w:t>CUMPLIMIENTO DE NORMAS DEL BANCO DE LA REPÚBLICA</w:t>
      </w:r>
    </w:p>
    <w:p w14:paraId="3AEDBD8A" w14:textId="77777777" w:rsidR="00721D02" w:rsidRDefault="00721D02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</w:p>
    <w:p w14:paraId="5A25184E" w14:textId="438FFB63" w:rsidR="00DA0C0E" w:rsidRDefault="00DA0C0E" w:rsidP="00721D02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SECCIÓN </w:t>
      </w:r>
      <w:r w:rsidR="005A7DAF">
        <w:rPr>
          <w:rFonts w:ascii="Verdana" w:hAnsi="Verdana"/>
          <w:b/>
          <w:bCs/>
          <w:sz w:val="20"/>
          <w:szCs w:val="20"/>
        </w:rPr>
        <w:t>4</w:t>
      </w:r>
    </w:p>
    <w:p w14:paraId="5C223E21" w14:textId="161CB7DD" w:rsidR="00DA0C0E" w:rsidRDefault="00CD77B4" w:rsidP="1311F43C">
      <w:pPr>
        <w:spacing w:after="0"/>
        <w:jc w:val="center"/>
        <w:rPr>
          <w:rFonts w:ascii="Verdana" w:hAnsi="Verdana"/>
          <w:b/>
          <w:bCs/>
          <w:sz w:val="20"/>
          <w:szCs w:val="20"/>
        </w:rPr>
      </w:pPr>
      <w:r w:rsidRPr="1311F43C">
        <w:rPr>
          <w:rFonts w:ascii="Verdana" w:hAnsi="Verdana"/>
          <w:b/>
          <w:bCs/>
          <w:sz w:val="20"/>
          <w:szCs w:val="20"/>
        </w:rPr>
        <w:t>O</w:t>
      </w:r>
      <w:r w:rsidR="00D932B0" w:rsidRPr="1311F43C">
        <w:rPr>
          <w:rFonts w:ascii="Verdana" w:hAnsi="Verdana"/>
          <w:b/>
          <w:bCs/>
          <w:sz w:val="20"/>
          <w:szCs w:val="20"/>
        </w:rPr>
        <w:t xml:space="preserve">PERACIONES ACTIVAS CON FINANCIACIÓN EN </w:t>
      </w:r>
      <w:proofErr w:type="gramStart"/>
      <w:r w:rsidR="00D932B0" w:rsidRPr="1311F43C">
        <w:rPr>
          <w:rFonts w:ascii="Verdana" w:hAnsi="Verdana"/>
          <w:b/>
          <w:bCs/>
          <w:sz w:val="20"/>
          <w:szCs w:val="20"/>
        </w:rPr>
        <w:t>MONEDA</w:t>
      </w:r>
      <w:proofErr w:type="gramEnd"/>
      <w:r w:rsidR="00D932B0" w:rsidRPr="1311F43C">
        <w:rPr>
          <w:rFonts w:ascii="Verdana" w:hAnsi="Verdana"/>
          <w:b/>
          <w:bCs/>
          <w:sz w:val="20"/>
          <w:szCs w:val="20"/>
        </w:rPr>
        <w:t xml:space="preserve"> EXTRANJERA</w:t>
      </w:r>
    </w:p>
    <w:p w14:paraId="34FD7863" w14:textId="77777777" w:rsidR="009D6127" w:rsidRDefault="009D6127" w:rsidP="009D6127">
      <w:pPr>
        <w:rPr>
          <w:rFonts w:ascii="Verdana" w:hAnsi="Verdana"/>
          <w:b/>
          <w:bCs/>
          <w:sz w:val="20"/>
          <w:szCs w:val="20"/>
        </w:rPr>
      </w:pPr>
    </w:p>
    <w:p w14:paraId="1B45FFE7" w14:textId="77777777" w:rsidR="00544A86" w:rsidRDefault="00544A86" w:rsidP="0055785C">
      <w:pPr>
        <w:spacing w:after="0"/>
        <w:rPr>
          <w:rFonts w:ascii="Verdana" w:hAnsi="Verdana"/>
          <w:sz w:val="20"/>
          <w:szCs w:val="20"/>
        </w:rPr>
      </w:pPr>
    </w:p>
    <w:p w14:paraId="126542F8" w14:textId="77777777" w:rsidR="00454F5B" w:rsidRDefault="00792716" w:rsidP="00194DCE">
      <w:pPr>
        <w:spacing w:after="0"/>
        <w:rPr>
          <w:rFonts w:ascii="Verdana" w:hAnsi="Verdana"/>
          <w:b/>
          <w:bCs/>
          <w:sz w:val="20"/>
          <w:szCs w:val="20"/>
        </w:rPr>
      </w:pPr>
      <w:r w:rsidRPr="00CD77B4">
        <w:rPr>
          <w:rFonts w:ascii="Verdana" w:hAnsi="Verdana"/>
          <w:b/>
          <w:bCs/>
          <w:sz w:val="20"/>
          <w:szCs w:val="20"/>
        </w:rPr>
        <w:t>ÁMBITO DE APLICACIÓN</w:t>
      </w:r>
    </w:p>
    <w:p w14:paraId="557F3FBE" w14:textId="77777777" w:rsidR="00454F5B" w:rsidRDefault="00454F5B" w:rsidP="00194DCE">
      <w:pPr>
        <w:spacing w:after="0"/>
        <w:rPr>
          <w:rFonts w:ascii="Verdana" w:hAnsi="Verdana"/>
          <w:b/>
          <w:bCs/>
          <w:sz w:val="20"/>
          <w:szCs w:val="20"/>
        </w:rPr>
      </w:pPr>
    </w:p>
    <w:p w14:paraId="4C1F4EC2" w14:textId="51C6DFA9" w:rsidR="00194DCE" w:rsidRPr="00454F5B" w:rsidRDefault="00194DCE" w:rsidP="00194DCE">
      <w:pP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8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4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1.</w:t>
      </w:r>
    </w:p>
    <w:p w14:paraId="1BB76CC6" w14:textId="77777777" w:rsidR="00856A21" w:rsidRPr="00856A21" w:rsidRDefault="00856A21" w:rsidP="1311F43C">
      <w:pPr>
        <w:spacing w:after="0"/>
        <w:jc w:val="both"/>
        <w:rPr>
          <w:rFonts w:ascii="Verdana" w:hAnsi="Verdana"/>
          <w:sz w:val="20"/>
          <w:szCs w:val="20"/>
        </w:rPr>
      </w:pPr>
      <w:r w:rsidRPr="1311F43C">
        <w:rPr>
          <w:rFonts w:ascii="Verdana" w:hAnsi="Verdana"/>
          <w:sz w:val="20"/>
          <w:szCs w:val="20"/>
        </w:rPr>
        <w:t xml:space="preserve">Las instrucciones del presente capítulo son aplicables a los intermediarios del mercado cambiario que están autorizados para obtener fondeo en moneda extranjera y realizar con estos recursos operaciones activas de crédito, de acuerdo con la Resolución Externa 1 de 2018 del Banco de la República, el Estatuto Orgánico del Sistema Financiero (EOSF), el Decreto 2555 de 2010, y las demás normas que sean aplicables o que modifiquen o sustituyan las normas vigentes. </w:t>
      </w:r>
    </w:p>
    <w:p w14:paraId="66D4B40E" w14:textId="77777777" w:rsidR="00856A21" w:rsidRPr="00856A21" w:rsidRDefault="00856A21" w:rsidP="00DE29F5">
      <w:pPr>
        <w:spacing w:after="0"/>
        <w:jc w:val="both"/>
        <w:rPr>
          <w:rFonts w:ascii="Verdana" w:hAnsi="Verdana"/>
          <w:sz w:val="20"/>
          <w:szCs w:val="20"/>
        </w:rPr>
      </w:pPr>
    </w:p>
    <w:p w14:paraId="56743607" w14:textId="77777777" w:rsidR="00454F5B" w:rsidRDefault="00454F5B" w:rsidP="00B75AED">
      <w:pPr>
        <w:spacing w:after="0"/>
        <w:rPr>
          <w:rFonts w:ascii="Verdana" w:hAnsi="Verdana"/>
          <w:b/>
          <w:bCs/>
          <w:sz w:val="20"/>
          <w:szCs w:val="20"/>
        </w:rPr>
      </w:pPr>
      <w:r w:rsidRPr="00B75AED">
        <w:rPr>
          <w:rFonts w:ascii="Verdana" w:hAnsi="Verdana"/>
          <w:b/>
          <w:bCs/>
          <w:sz w:val="20"/>
          <w:szCs w:val="20"/>
        </w:rPr>
        <w:t>GENERALIDADES</w:t>
      </w:r>
    </w:p>
    <w:p w14:paraId="7A4828A7" w14:textId="77777777" w:rsidR="00454F5B" w:rsidRDefault="00454F5B" w:rsidP="00B75AED">
      <w:pPr>
        <w:spacing w:after="0"/>
        <w:rPr>
          <w:rFonts w:ascii="Verdana" w:hAnsi="Verdana"/>
          <w:b/>
          <w:bCs/>
          <w:sz w:val="20"/>
          <w:szCs w:val="20"/>
        </w:rPr>
      </w:pPr>
    </w:p>
    <w:p w14:paraId="29ABDFF7" w14:textId="43499E3B" w:rsidR="00B75AED" w:rsidRPr="00454F5B" w:rsidRDefault="00B75AED" w:rsidP="00B75AED">
      <w:pPr>
        <w:spacing w:after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2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8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4</w:t>
      </w:r>
      <w:r w:rsidRPr="00BF0C5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2.</w:t>
      </w:r>
    </w:p>
    <w:p w14:paraId="07FAC736" w14:textId="3DC9361E" w:rsidR="007A4231" w:rsidRDefault="00856A21" w:rsidP="00DE29F5">
      <w:pPr>
        <w:spacing w:after="0"/>
        <w:jc w:val="both"/>
        <w:rPr>
          <w:rFonts w:ascii="Verdana" w:hAnsi="Verdana"/>
          <w:sz w:val="20"/>
          <w:szCs w:val="20"/>
        </w:rPr>
      </w:pPr>
      <w:r w:rsidRPr="00856A21">
        <w:rPr>
          <w:rFonts w:ascii="Verdana" w:hAnsi="Verdana"/>
          <w:sz w:val="20"/>
          <w:szCs w:val="20"/>
        </w:rPr>
        <w:t xml:space="preserve">Las entidades vigiladas autorizadas para obtener fondeo en moneda extranjera, así como las formas de obtención de este fondeo, los plazos autorizados, destinación de los recursos y demás aspectos relevantes de estas operaciones se rigen por lo dispuesto en la Resolución Externa 1 de 2018 del Banco de la República y en las demás normas concordantes. En todo caso, estas operaciones deben dar cumplimiento a los límites para la posición propia, posición propia de contado y la posición bruta de apalancamiento, la posición de inversiones controladas en el exterior, los indicadores de riesgo cambiario y los indicadores de exposición de corto plazo, así como a los límites para el control </w:t>
      </w:r>
      <w:r w:rsidR="004842D1">
        <w:rPr>
          <w:rFonts w:ascii="Verdana" w:hAnsi="Verdana"/>
          <w:sz w:val="20"/>
          <w:szCs w:val="20"/>
        </w:rPr>
        <w:t>de</w:t>
      </w:r>
      <w:r w:rsidRPr="00856A21">
        <w:rPr>
          <w:rFonts w:ascii="Verdana" w:hAnsi="Verdana"/>
          <w:sz w:val="20"/>
          <w:szCs w:val="20"/>
        </w:rPr>
        <w:t xml:space="preserve"> la concentración de riesgos, las grandes exposiciones y los cupos individuales de crédito previstos en el Decreto 2555 de 2010.</w:t>
      </w:r>
    </w:p>
    <w:sectPr w:rsidR="007A4231" w:rsidSect="003C558F">
      <w:headerReference w:type="default" r:id="rId10"/>
      <w:pgSz w:w="12240" w:h="20160" w:code="5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A12BA" w14:textId="77777777" w:rsidR="001B084B" w:rsidRDefault="001B084B" w:rsidP="00057BF6">
      <w:pPr>
        <w:spacing w:after="0" w:line="240" w:lineRule="auto"/>
      </w:pPr>
      <w:r>
        <w:separator/>
      </w:r>
    </w:p>
  </w:endnote>
  <w:endnote w:type="continuationSeparator" w:id="0">
    <w:p w14:paraId="1D7CFA8C" w14:textId="77777777" w:rsidR="001B084B" w:rsidRDefault="001B084B" w:rsidP="00057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B5FE" w14:textId="77777777" w:rsidR="001B084B" w:rsidRDefault="001B084B" w:rsidP="00057BF6">
      <w:pPr>
        <w:spacing w:after="0" w:line="240" w:lineRule="auto"/>
      </w:pPr>
      <w:r>
        <w:separator/>
      </w:r>
    </w:p>
  </w:footnote>
  <w:footnote w:type="continuationSeparator" w:id="0">
    <w:p w14:paraId="7D098EA3" w14:textId="77777777" w:rsidR="001B084B" w:rsidRDefault="001B084B" w:rsidP="00057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43DA6" w14:textId="177B21D3" w:rsidR="00057BF6" w:rsidRPr="003A5CFE" w:rsidRDefault="003A5CFE" w:rsidP="003A5CFE">
    <w:pPr>
      <w:pStyle w:val="Encabezado"/>
      <w:jc w:val="center"/>
      <w:rPr>
        <w:rFonts w:ascii="Verdana" w:hAnsi="Verdana"/>
        <w:b/>
        <w:bCs/>
      </w:rPr>
    </w:pPr>
    <w:r w:rsidRPr="003A5CFE">
      <w:rPr>
        <w:rFonts w:ascii="Verdana" w:hAnsi="Verdana"/>
        <w:b/>
        <w:bCs/>
      </w:rPr>
      <w:t>SUPERINTENDENCIA FINANCIERA DE COLOMBIA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962FB4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0B0BA7"/>
    <w:multiLevelType w:val="hybridMultilevel"/>
    <w:tmpl w:val="E26E312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4487"/>
    <w:multiLevelType w:val="hybridMultilevel"/>
    <w:tmpl w:val="6344B048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4672D"/>
    <w:multiLevelType w:val="hybridMultilevel"/>
    <w:tmpl w:val="0C78D3A6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22EF7"/>
    <w:multiLevelType w:val="hybridMultilevel"/>
    <w:tmpl w:val="44FCE8F2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76E3C"/>
    <w:multiLevelType w:val="hybridMultilevel"/>
    <w:tmpl w:val="6D3C35CE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E0610"/>
    <w:multiLevelType w:val="hybridMultilevel"/>
    <w:tmpl w:val="5A1EADAA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3553D"/>
    <w:multiLevelType w:val="hybridMultilevel"/>
    <w:tmpl w:val="869812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7DF6FA6"/>
    <w:multiLevelType w:val="hybridMultilevel"/>
    <w:tmpl w:val="F6825A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016367"/>
    <w:multiLevelType w:val="hybridMultilevel"/>
    <w:tmpl w:val="496ACB1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B746782"/>
    <w:multiLevelType w:val="hybridMultilevel"/>
    <w:tmpl w:val="AA2CC714"/>
    <w:lvl w:ilvl="0" w:tplc="51E06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AF9A35B0">
      <w:start w:val="1"/>
      <w:numFmt w:val="lowerLetter"/>
      <w:lvlText w:val="(%2)"/>
      <w:lvlJc w:val="left"/>
      <w:pPr>
        <w:ind w:left="1080" w:hanging="360"/>
      </w:pPr>
      <w:rPr>
        <w:rFonts w:hint="default"/>
      </w:rPr>
    </w:lvl>
    <w:lvl w:ilvl="2" w:tplc="EED2788E">
      <w:start w:val="1"/>
      <w:numFmt w:val="lowerLetter"/>
      <w:lvlText w:val="%3)"/>
      <w:lvlJc w:val="left"/>
      <w:pPr>
        <w:ind w:left="1695" w:hanging="7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D7307"/>
    <w:multiLevelType w:val="hybridMultilevel"/>
    <w:tmpl w:val="ADF6353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227BDF"/>
    <w:multiLevelType w:val="hybridMultilevel"/>
    <w:tmpl w:val="648E26E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850A78"/>
    <w:multiLevelType w:val="hybridMultilevel"/>
    <w:tmpl w:val="C0EA55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859B6"/>
    <w:multiLevelType w:val="hybridMultilevel"/>
    <w:tmpl w:val="CF8CC6B0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425DC"/>
    <w:multiLevelType w:val="multilevel"/>
    <w:tmpl w:val="CC0C76E4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6" w15:restartNumberingAfterBreak="0">
    <w:nsid w:val="2A897DBC"/>
    <w:multiLevelType w:val="hybridMultilevel"/>
    <w:tmpl w:val="EE6893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BA92893"/>
    <w:multiLevelType w:val="hybridMultilevel"/>
    <w:tmpl w:val="6E08BFAC"/>
    <w:lvl w:ilvl="0" w:tplc="240A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8" w15:restartNumberingAfterBreak="0">
    <w:nsid w:val="2CFA1F7C"/>
    <w:multiLevelType w:val="hybridMultilevel"/>
    <w:tmpl w:val="02B41FD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D472C3"/>
    <w:multiLevelType w:val="hybridMultilevel"/>
    <w:tmpl w:val="F4EA3718"/>
    <w:lvl w:ilvl="0" w:tplc="240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1E67D6"/>
    <w:multiLevelType w:val="hybridMultilevel"/>
    <w:tmpl w:val="DB52722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53C5CAA">
      <w:numFmt w:val="bullet"/>
      <w:lvlText w:val="•"/>
      <w:lvlJc w:val="left"/>
      <w:pPr>
        <w:ind w:left="1536" w:hanging="816"/>
      </w:pPr>
      <w:rPr>
        <w:rFonts w:ascii="Arial" w:eastAsia="Calibr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2D2ADE"/>
    <w:multiLevelType w:val="hybridMultilevel"/>
    <w:tmpl w:val="6158C136"/>
    <w:lvl w:ilvl="0" w:tplc="240A0017">
      <w:start w:val="1"/>
      <w:numFmt w:val="lowerLetter"/>
      <w:lvlText w:val="%1)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9D278C"/>
    <w:multiLevelType w:val="hybridMultilevel"/>
    <w:tmpl w:val="AE02F8FE"/>
    <w:lvl w:ilvl="0" w:tplc="DB468BB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74786"/>
    <w:multiLevelType w:val="hybridMultilevel"/>
    <w:tmpl w:val="D6C272AC"/>
    <w:lvl w:ilvl="0" w:tplc="A3C89E8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1133C1"/>
    <w:multiLevelType w:val="hybridMultilevel"/>
    <w:tmpl w:val="0DC46AF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DF6205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6" w15:restartNumberingAfterBreak="0">
    <w:nsid w:val="58963794"/>
    <w:multiLevelType w:val="hybridMultilevel"/>
    <w:tmpl w:val="B27A98B0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CA01F37"/>
    <w:multiLevelType w:val="hybridMultilevel"/>
    <w:tmpl w:val="6DA4926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70428"/>
    <w:multiLevelType w:val="multilevel"/>
    <w:tmpl w:val="3B5206D2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9" w15:restartNumberingAfterBreak="0">
    <w:nsid w:val="607774DA"/>
    <w:multiLevelType w:val="hybridMultilevel"/>
    <w:tmpl w:val="06AC4E0C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3A2050F"/>
    <w:multiLevelType w:val="hybridMultilevel"/>
    <w:tmpl w:val="673A995C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E0799"/>
    <w:multiLevelType w:val="hybridMultilevel"/>
    <w:tmpl w:val="5F6E74EA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D78BB"/>
    <w:multiLevelType w:val="hybridMultilevel"/>
    <w:tmpl w:val="0EDC814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161E59"/>
    <w:multiLevelType w:val="hybridMultilevel"/>
    <w:tmpl w:val="0B12EFA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7740FF"/>
    <w:multiLevelType w:val="hybridMultilevel"/>
    <w:tmpl w:val="8D963E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934984"/>
    <w:multiLevelType w:val="hybridMultilevel"/>
    <w:tmpl w:val="509E0F7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B576DF"/>
    <w:multiLevelType w:val="hybridMultilevel"/>
    <w:tmpl w:val="52029FF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C94C03"/>
    <w:multiLevelType w:val="multilevel"/>
    <w:tmpl w:val="0C0A001D"/>
    <w:styleLink w:val="Estilo1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7A6689F"/>
    <w:multiLevelType w:val="hybridMultilevel"/>
    <w:tmpl w:val="C762A2B6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A375582"/>
    <w:multiLevelType w:val="hybridMultilevel"/>
    <w:tmpl w:val="282450C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8432656">
    <w:abstractNumId w:val="25"/>
  </w:num>
  <w:num w:numId="2" w16cid:durableId="1880435568">
    <w:abstractNumId w:val="37"/>
  </w:num>
  <w:num w:numId="3" w16cid:durableId="1362513633">
    <w:abstractNumId w:val="0"/>
  </w:num>
  <w:num w:numId="4" w16cid:durableId="865407780">
    <w:abstractNumId w:val="13"/>
  </w:num>
  <w:num w:numId="5" w16cid:durableId="2142072933">
    <w:abstractNumId w:val="11"/>
  </w:num>
  <w:num w:numId="6" w16cid:durableId="1895698361">
    <w:abstractNumId w:val="32"/>
  </w:num>
  <w:num w:numId="7" w16cid:durableId="2113162086">
    <w:abstractNumId w:val="2"/>
  </w:num>
  <w:num w:numId="8" w16cid:durableId="153033862">
    <w:abstractNumId w:val="12"/>
  </w:num>
  <w:num w:numId="9" w16cid:durableId="1967345544">
    <w:abstractNumId w:val="6"/>
  </w:num>
  <w:num w:numId="10" w16cid:durableId="981033342">
    <w:abstractNumId w:val="39"/>
  </w:num>
  <w:num w:numId="11" w16cid:durableId="1402868393">
    <w:abstractNumId w:val="9"/>
  </w:num>
  <w:num w:numId="12" w16cid:durableId="1006246652">
    <w:abstractNumId w:val="28"/>
  </w:num>
  <w:num w:numId="13" w16cid:durableId="978728261">
    <w:abstractNumId w:val="20"/>
  </w:num>
  <w:num w:numId="14" w16cid:durableId="78528817">
    <w:abstractNumId w:val="24"/>
  </w:num>
  <w:num w:numId="15" w16cid:durableId="1400783133">
    <w:abstractNumId w:val="34"/>
  </w:num>
  <w:num w:numId="16" w16cid:durableId="1938364807">
    <w:abstractNumId w:val="17"/>
  </w:num>
  <w:num w:numId="17" w16cid:durableId="1205092842">
    <w:abstractNumId w:val="27"/>
  </w:num>
  <w:num w:numId="18" w16cid:durableId="767624783">
    <w:abstractNumId w:val="36"/>
  </w:num>
  <w:num w:numId="19" w16cid:durableId="1220632725">
    <w:abstractNumId w:val="35"/>
  </w:num>
  <w:num w:numId="20" w16cid:durableId="2122873339">
    <w:abstractNumId w:val="21"/>
  </w:num>
  <w:num w:numId="21" w16cid:durableId="291398624">
    <w:abstractNumId w:val="1"/>
  </w:num>
  <w:num w:numId="22" w16cid:durableId="1656568277">
    <w:abstractNumId w:val="23"/>
  </w:num>
  <w:num w:numId="23" w16cid:durableId="693846277">
    <w:abstractNumId w:val="38"/>
  </w:num>
  <w:num w:numId="24" w16cid:durableId="626394639">
    <w:abstractNumId w:val="33"/>
  </w:num>
  <w:num w:numId="25" w16cid:durableId="1283152959">
    <w:abstractNumId w:val="15"/>
  </w:num>
  <w:num w:numId="26" w16cid:durableId="1833835843">
    <w:abstractNumId w:val="10"/>
  </w:num>
  <w:num w:numId="27" w16cid:durableId="1448355760">
    <w:abstractNumId w:val="22"/>
  </w:num>
  <w:num w:numId="28" w16cid:durableId="1302419666">
    <w:abstractNumId w:val="14"/>
  </w:num>
  <w:num w:numId="29" w16cid:durableId="996416780">
    <w:abstractNumId w:val="19"/>
  </w:num>
  <w:num w:numId="30" w16cid:durableId="679966915">
    <w:abstractNumId w:val="26"/>
  </w:num>
  <w:num w:numId="31" w16cid:durableId="388916171">
    <w:abstractNumId w:val="31"/>
  </w:num>
  <w:num w:numId="32" w16cid:durableId="1085344735">
    <w:abstractNumId w:val="8"/>
  </w:num>
  <w:num w:numId="33" w16cid:durableId="178398284">
    <w:abstractNumId w:val="29"/>
  </w:num>
  <w:num w:numId="34" w16cid:durableId="1256087641">
    <w:abstractNumId w:val="4"/>
  </w:num>
  <w:num w:numId="35" w16cid:durableId="432360488">
    <w:abstractNumId w:val="5"/>
  </w:num>
  <w:num w:numId="36" w16cid:durableId="184101424">
    <w:abstractNumId w:val="30"/>
  </w:num>
  <w:num w:numId="37" w16cid:durableId="1636792291">
    <w:abstractNumId w:val="7"/>
  </w:num>
  <w:num w:numId="38" w16cid:durableId="1738629813">
    <w:abstractNumId w:val="3"/>
  </w:num>
  <w:num w:numId="39" w16cid:durableId="1292438572">
    <w:abstractNumId w:val="18"/>
  </w:num>
  <w:num w:numId="40" w16cid:durableId="5389749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D85"/>
    <w:rsid w:val="000001A2"/>
    <w:rsid w:val="00057BF6"/>
    <w:rsid w:val="000644F9"/>
    <w:rsid w:val="0006736C"/>
    <w:rsid w:val="000868A7"/>
    <w:rsid w:val="00194DCE"/>
    <w:rsid w:val="001B084B"/>
    <w:rsid w:val="001B202E"/>
    <w:rsid w:val="001B5187"/>
    <w:rsid w:val="00202CAD"/>
    <w:rsid w:val="00213D2E"/>
    <w:rsid w:val="0021666A"/>
    <w:rsid w:val="002B4F4A"/>
    <w:rsid w:val="002F5CF4"/>
    <w:rsid w:val="0036407F"/>
    <w:rsid w:val="003A5CFE"/>
    <w:rsid w:val="003C558F"/>
    <w:rsid w:val="0040498E"/>
    <w:rsid w:val="00405030"/>
    <w:rsid w:val="004063E5"/>
    <w:rsid w:val="00406D2B"/>
    <w:rsid w:val="00414617"/>
    <w:rsid w:val="0043223D"/>
    <w:rsid w:val="004362B9"/>
    <w:rsid w:val="00454F5B"/>
    <w:rsid w:val="004842D1"/>
    <w:rsid w:val="00544A86"/>
    <w:rsid w:val="0055785C"/>
    <w:rsid w:val="00596B88"/>
    <w:rsid w:val="005A7DAF"/>
    <w:rsid w:val="0061423F"/>
    <w:rsid w:val="0061738E"/>
    <w:rsid w:val="006B11D4"/>
    <w:rsid w:val="00721D02"/>
    <w:rsid w:val="00722011"/>
    <w:rsid w:val="00792716"/>
    <w:rsid w:val="007A302E"/>
    <w:rsid w:val="007A4231"/>
    <w:rsid w:val="007C2C0E"/>
    <w:rsid w:val="0082329A"/>
    <w:rsid w:val="00840AC3"/>
    <w:rsid w:val="00856A21"/>
    <w:rsid w:val="008F752E"/>
    <w:rsid w:val="0094551D"/>
    <w:rsid w:val="00956EC8"/>
    <w:rsid w:val="009571FD"/>
    <w:rsid w:val="009A2823"/>
    <w:rsid w:val="009A77DB"/>
    <w:rsid w:val="009B6D85"/>
    <w:rsid w:val="009C4CAD"/>
    <w:rsid w:val="009D6127"/>
    <w:rsid w:val="00A41E5E"/>
    <w:rsid w:val="00A9232C"/>
    <w:rsid w:val="00B75AED"/>
    <w:rsid w:val="00C0434A"/>
    <w:rsid w:val="00CC3647"/>
    <w:rsid w:val="00CC6142"/>
    <w:rsid w:val="00CD77B4"/>
    <w:rsid w:val="00CE545A"/>
    <w:rsid w:val="00D932B0"/>
    <w:rsid w:val="00DA0C0E"/>
    <w:rsid w:val="00DB3370"/>
    <w:rsid w:val="00DE29F5"/>
    <w:rsid w:val="00E03CCC"/>
    <w:rsid w:val="00E36D12"/>
    <w:rsid w:val="00E8254F"/>
    <w:rsid w:val="00EE0102"/>
    <w:rsid w:val="00F2755A"/>
    <w:rsid w:val="1311F43C"/>
    <w:rsid w:val="1FD99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55A74"/>
  <w15:chartTrackingRefBased/>
  <w15:docId w15:val="{542C7A95-EB57-49ED-8ECD-A1F12FD96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9B6D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B6D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9B6D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9B6D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B6D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B6D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B6D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B6D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B6D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6D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B6D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semiHidden/>
    <w:rsid w:val="009B6D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9B6D8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B6D8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B6D8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B6D8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B6D8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B6D8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qFormat/>
    <w:rsid w:val="009B6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sid w:val="009B6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B6D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B6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B6D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B6D85"/>
    <w:rPr>
      <w:i/>
      <w:iCs/>
      <w:color w:val="404040" w:themeColor="text1" w:themeTint="BF"/>
    </w:rPr>
  </w:style>
  <w:style w:type="paragraph" w:styleId="Prrafodelista">
    <w:name w:val="List Paragraph"/>
    <w:aliases w:val="EY EPM - Lista"/>
    <w:basedOn w:val="Normal"/>
    <w:uiPriority w:val="34"/>
    <w:qFormat/>
    <w:rsid w:val="009B6D8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B6D8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B6D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B6D8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B6D8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7BF6"/>
  </w:style>
  <w:style w:type="paragraph" w:styleId="Piedepgina">
    <w:name w:val="footer"/>
    <w:basedOn w:val="Normal"/>
    <w:link w:val="PiedepginaCar"/>
    <w:uiPriority w:val="99"/>
    <w:unhideWhenUsed/>
    <w:rsid w:val="00057B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BF6"/>
  </w:style>
  <w:style w:type="numbering" w:customStyle="1" w:styleId="Sinlista1">
    <w:name w:val="Sin lista1"/>
    <w:next w:val="Sinlista"/>
    <w:uiPriority w:val="99"/>
    <w:semiHidden/>
    <w:unhideWhenUsed/>
    <w:rsid w:val="004362B9"/>
  </w:style>
  <w:style w:type="paragraph" w:styleId="Textoindependiente">
    <w:name w:val="Body Text"/>
    <w:basedOn w:val="Normal"/>
    <w:link w:val="TextoindependienteCar"/>
    <w:rsid w:val="004362B9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4362B9"/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character" w:styleId="Nmerodepgina">
    <w:name w:val="page number"/>
    <w:basedOn w:val="Fuentedeprrafopredeter"/>
    <w:rsid w:val="004362B9"/>
  </w:style>
  <w:style w:type="paragraph" w:styleId="Textonotapie">
    <w:name w:val="footnote text"/>
    <w:basedOn w:val="Normal"/>
    <w:link w:val="TextonotapieCar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notapieCar">
    <w:name w:val="Texto nota pie Car"/>
    <w:basedOn w:val="Fuentedeprrafopredeter"/>
    <w:link w:val="Textonotapie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4362B9"/>
    <w:rPr>
      <w:vertAlign w:val="superscript"/>
    </w:rPr>
  </w:style>
  <w:style w:type="character" w:styleId="Refdecomentario">
    <w:name w:val="annotation reference"/>
    <w:basedOn w:val="Fuentedeprrafopredeter"/>
    <w:uiPriority w:val="99"/>
    <w:rsid w:val="004362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B9"/>
    <w:rPr>
      <w:rFonts w:ascii="Times New Roman" w:eastAsia="Times New Roman" w:hAnsi="Times New Roman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Textodeglobo">
    <w:name w:val="Balloon Text"/>
    <w:basedOn w:val="Normal"/>
    <w:link w:val="TextodegloboCar"/>
    <w:rsid w:val="004362B9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character" w:customStyle="1" w:styleId="TextodegloboCar">
    <w:name w:val="Texto de globo Car"/>
    <w:basedOn w:val="Fuentedeprrafopredeter"/>
    <w:link w:val="Textodeglobo"/>
    <w:rsid w:val="004362B9"/>
    <w:rPr>
      <w:rFonts w:ascii="Tahoma" w:eastAsia="Times New Roman" w:hAnsi="Tahoma" w:cs="Tahoma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4362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es-CO"/>
      <w14:ligatures w14:val="none"/>
    </w:rPr>
  </w:style>
  <w:style w:type="paragraph" w:styleId="Sinespaciado">
    <w:name w:val="No Spacing"/>
    <w:uiPriority w:val="1"/>
    <w:qFormat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CO"/>
      <w14:ligatures w14:val="none"/>
    </w:rPr>
  </w:style>
  <w:style w:type="numbering" w:customStyle="1" w:styleId="Estilo1">
    <w:name w:val="Estilo1"/>
    <w:rsid w:val="004362B9"/>
    <w:pPr>
      <w:numPr>
        <w:numId w:val="2"/>
      </w:numPr>
    </w:pPr>
  </w:style>
  <w:style w:type="paragraph" w:styleId="Lista">
    <w:name w:val="List"/>
    <w:basedOn w:val="Normal"/>
    <w:rsid w:val="004362B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Listaconvietas2">
    <w:name w:val="List Bullet 2"/>
    <w:basedOn w:val="Normal"/>
    <w:rsid w:val="004362B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">
    <w:name w:val="List Continue"/>
    <w:basedOn w:val="Normal"/>
    <w:rsid w:val="004362B9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Continuarlista2">
    <w:name w:val="List Continue 2"/>
    <w:basedOn w:val="Normal"/>
    <w:rsid w:val="004362B9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Sangradetextonormal">
    <w:name w:val="Body Text Indent"/>
    <w:basedOn w:val="Normal"/>
    <w:link w:val="SangradetextonormalCar"/>
    <w:rsid w:val="004362B9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rsid w:val="004362B9"/>
    <w:pPr>
      <w:spacing w:after="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table" w:styleId="Tablaconcuadrcula">
    <w:name w:val="Table Grid"/>
    <w:basedOn w:val="Tablanormal"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erpodeltexto">
    <w:name w:val="Cuerpo del texto_"/>
    <w:basedOn w:val="Fuentedeprrafopredeter"/>
    <w:link w:val="Cuerpodeltexto0"/>
    <w:locked/>
    <w:rsid w:val="004362B9"/>
    <w:rPr>
      <w:rFonts w:ascii="Calibri" w:eastAsia="Calibri" w:hAnsi="Calibri" w:cs="Calibri"/>
      <w:spacing w:val="2"/>
      <w:sz w:val="19"/>
      <w:szCs w:val="19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4362B9"/>
    <w:pPr>
      <w:widowControl w:val="0"/>
      <w:shd w:val="clear" w:color="auto" w:fill="FFFFFF"/>
      <w:spacing w:before="360" w:after="240" w:line="269" w:lineRule="exact"/>
      <w:ind w:hanging="360"/>
      <w:jc w:val="both"/>
    </w:pPr>
    <w:rPr>
      <w:rFonts w:ascii="Calibri" w:eastAsia="Calibri" w:hAnsi="Calibri" w:cs="Calibri"/>
      <w:spacing w:val="2"/>
      <w:sz w:val="19"/>
      <w:szCs w:val="19"/>
    </w:rPr>
  </w:style>
  <w:style w:type="paragraph" w:styleId="Revisin">
    <w:name w:val="Revision"/>
    <w:hidden/>
    <w:uiPriority w:val="99"/>
    <w:semiHidden/>
    <w:rsid w:val="004362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styleId="NormalWeb">
    <w:name w:val="Normal (Web)"/>
    <w:basedOn w:val="Normal"/>
    <w:uiPriority w:val="99"/>
    <w:unhideWhenUsed/>
    <w:rsid w:val="00436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Ttulo50">
    <w:name w:val="Título #5_"/>
    <w:basedOn w:val="Fuentedeprrafopredeter"/>
    <w:link w:val="Ttulo51"/>
    <w:rsid w:val="004362B9"/>
    <w:rPr>
      <w:rFonts w:ascii="Calibri" w:eastAsia="Calibri" w:hAnsi="Calibri" w:cs="Calibri"/>
      <w:b/>
      <w:bCs/>
      <w:spacing w:val="1"/>
      <w:shd w:val="clear" w:color="auto" w:fill="FFFFFF"/>
    </w:rPr>
  </w:style>
  <w:style w:type="paragraph" w:customStyle="1" w:styleId="Ttulo51">
    <w:name w:val="Título #5"/>
    <w:basedOn w:val="Normal"/>
    <w:link w:val="Ttulo50"/>
    <w:rsid w:val="004362B9"/>
    <w:pPr>
      <w:widowControl w:val="0"/>
      <w:shd w:val="clear" w:color="auto" w:fill="FFFFFF"/>
      <w:spacing w:before="240" w:after="240" w:line="0" w:lineRule="atLeast"/>
      <w:ind w:hanging="360"/>
      <w:jc w:val="both"/>
      <w:outlineLvl w:val="4"/>
    </w:pPr>
    <w:rPr>
      <w:rFonts w:ascii="Calibri" w:eastAsia="Calibri" w:hAnsi="Calibri" w:cs="Calibri"/>
      <w:b/>
      <w:bCs/>
      <w:spacing w:val="1"/>
    </w:rPr>
  </w:style>
  <w:style w:type="paragraph" w:customStyle="1" w:styleId="CM913">
    <w:name w:val="CM9+13"/>
    <w:basedOn w:val="Default"/>
    <w:next w:val="Default"/>
    <w:uiPriority w:val="99"/>
    <w:rsid w:val="004362B9"/>
    <w:pPr>
      <w:spacing w:line="278" w:lineRule="atLeast"/>
    </w:pPr>
    <w:rPr>
      <w:rFonts w:ascii="Arial" w:hAnsi="Arial" w:cs="Arial"/>
      <w:color w:val="auto"/>
    </w:rPr>
  </w:style>
  <w:style w:type="character" w:styleId="Hipervnculo">
    <w:name w:val="Hyperlink"/>
    <w:basedOn w:val="Fuentedeprrafopredeter"/>
    <w:uiPriority w:val="99"/>
    <w:semiHidden/>
    <w:unhideWhenUsed/>
    <w:rsid w:val="004362B9"/>
    <w:rPr>
      <w:color w:val="0000FF"/>
      <w:u w:val="single"/>
    </w:rPr>
  </w:style>
  <w:style w:type="character" w:customStyle="1" w:styleId="il">
    <w:name w:val="il"/>
    <w:basedOn w:val="Fuentedeprrafopredeter"/>
    <w:rsid w:val="004362B9"/>
  </w:style>
  <w:style w:type="paragraph" w:styleId="Textoindependiente2">
    <w:name w:val="Body Text 2"/>
    <w:basedOn w:val="Normal"/>
    <w:link w:val="Textoindependiente2Car"/>
    <w:unhideWhenUsed/>
    <w:rsid w:val="004362B9"/>
    <w:pPr>
      <w:spacing w:after="120" w:line="480" w:lineRule="auto"/>
    </w:pPr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rsid w:val="004362B9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paragraph" w:customStyle="1" w:styleId="CM129">
    <w:name w:val="CM129"/>
    <w:basedOn w:val="Default"/>
    <w:next w:val="Default"/>
    <w:uiPriority w:val="99"/>
    <w:rsid w:val="004362B9"/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F2FE8D899FE44598E59C76F6535007" ma:contentTypeVersion="3" ma:contentTypeDescription="Create a new document." ma:contentTypeScope="" ma:versionID="62d8dcd489ebc70bbcf5cde3609b20db">
  <xsd:schema xmlns:xsd="http://www.w3.org/2001/XMLSchema" xmlns:xs="http://www.w3.org/2001/XMLSchema" xmlns:p="http://schemas.microsoft.com/office/2006/metadata/properties" xmlns:ns2="9056d983-1374-4724-9f8d-2ef5b64379db" targetNamespace="http://schemas.microsoft.com/office/2006/metadata/properties" ma:root="true" ma:fieldsID="9461a44d26676fe84ef1753ab7a2ce10" ns2:_="">
    <xsd:import namespace="9056d983-1374-4724-9f8d-2ef5b64379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6d983-1374-4724-9f8d-2ef5b6437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D7826-EC9E-4AC0-82C0-213E5C0AE0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F0E48-35D5-4BAC-889B-383B8F140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EA79FF-6490-42BF-8187-E464248D5A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1277</Characters>
  <Application>Microsoft Office Word</Application>
  <DocSecurity>0</DocSecurity>
  <Lines>33</Lines>
  <Paragraphs>12</Paragraphs>
  <ScaleCrop>false</ScaleCrop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Durán Méndez</dc:creator>
  <cp:keywords/>
  <dc:description/>
  <cp:lastModifiedBy>Superintendencia Financiera </cp:lastModifiedBy>
  <cp:revision>24</cp:revision>
  <dcterms:created xsi:type="dcterms:W3CDTF">2024-12-24T13:56:00Z</dcterms:created>
  <dcterms:modified xsi:type="dcterms:W3CDTF">2026-04-13T14:55:00Z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0x010100F5F2FE8D899FE44598E59C76F6535007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es</vt:lpwstr>
  </property>
</Properties>
</file>